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E0B98D">
      <w:pPr>
        <w:spacing w:line="560" w:lineRule="exact"/>
        <w:jc w:val="center"/>
        <w:outlineLvl w:val="0"/>
        <w:rPr>
          <w:rFonts w:ascii="方正小标宋简体" w:hAnsi="方正小标宋简体" w:eastAsia="方正小标宋简体" w:cs="方正小标宋简体"/>
          <w:sz w:val="44"/>
          <w:szCs w:val="44"/>
          <w:highlight w:val="none"/>
          <w:u w:val="none"/>
        </w:rPr>
      </w:pPr>
      <w:r>
        <w:rPr>
          <w:rFonts w:hint="eastAsia" w:ascii="方正小标宋简体" w:hAnsi="方正小标宋简体" w:eastAsia="方正小标宋简体" w:cs="方正小标宋简体"/>
          <w:sz w:val="44"/>
          <w:szCs w:val="44"/>
          <w:highlight w:val="none"/>
          <w:u w:val="none"/>
        </w:rPr>
        <w:t>临河区人才引进和培养实施暂行办法</w:t>
      </w:r>
    </w:p>
    <w:p w14:paraId="5B886110">
      <w:pPr>
        <w:spacing w:line="560" w:lineRule="exact"/>
        <w:jc w:val="center"/>
        <w:rPr>
          <w:rFonts w:hint="eastAsia" w:ascii="黑体" w:hAnsi="黑体" w:eastAsia="黑体" w:cs="黑体"/>
          <w:b w:val="0"/>
          <w:bCs w:val="0"/>
          <w:sz w:val="32"/>
          <w:szCs w:val="32"/>
          <w:highlight w:val="none"/>
          <w:u w:val="none"/>
        </w:rPr>
      </w:pPr>
      <w:bookmarkStart w:id="0" w:name="_GoBack"/>
      <w:bookmarkEnd w:id="0"/>
    </w:p>
    <w:p w14:paraId="637A14C0">
      <w:pPr>
        <w:spacing w:line="560" w:lineRule="exact"/>
        <w:jc w:val="center"/>
        <w:outlineLvl w:val="0"/>
        <w:rPr>
          <w:rFonts w:ascii="黑体" w:hAnsi="黑体" w:eastAsia="黑体" w:cs="黑体"/>
          <w:b w:val="0"/>
          <w:bCs w:val="0"/>
          <w:sz w:val="32"/>
          <w:szCs w:val="32"/>
          <w:highlight w:val="none"/>
          <w:u w:val="none"/>
        </w:rPr>
      </w:pPr>
      <w:r>
        <w:rPr>
          <w:rFonts w:hint="eastAsia" w:ascii="黑体" w:hAnsi="黑体" w:eastAsia="黑体" w:cs="黑体"/>
          <w:b w:val="0"/>
          <w:bCs w:val="0"/>
          <w:sz w:val="32"/>
          <w:szCs w:val="32"/>
          <w:highlight w:val="none"/>
          <w:u w:val="none"/>
        </w:rPr>
        <w:t>第一章  总则</w:t>
      </w:r>
    </w:p>
    <w:p w14:paraId="13089C41">
      <w:pPr>
        <w:spacing w:line="560" w:lineRule="exact"/>
        <w:rPr>
          <w:rFonts w:ascii="黑体" w:hAnsi="黑体" w:eastAsia="黑体" w:cs="黑体"/>
          <w:b w:val="0"/>
          <w:bCs w:val="0"/>
          <w:color w:val="000000" w:themeColor="text1"/>
          <w:sz w:val="32"/>
          <w:szCs w:val="32"/>
          <w:highlight w:val="none"/>
          <w:u w:val="none"/>
          <w14:textFill>
            <w14:solidFill>
              <w14:schemeClr w14:val="tx1"/>
            </w14:solidFill>
          </w14:textFill>
        </w:rPr>
      </w:pPr>
    </w:p>
    <w:p w14:paraId="6613F32E">
      <w:pPr>
        <w:keepNext w:val="0"/>
        <w:keepLines w:val="0"/>
        <w:pageBreakBefore w:val="0"/>
        <w:widowControl/>
        <w:suppressLineNumbers w:val="0"/>
        <w:kinsoku/>
        <w:wordWrap/>
        <w:overflowPunct/>
        <w:topLinePunct w:val="0"/>
        <w:autoSpaceDE/>
        <w:autoSpaceDN/>
        <w:bidi w:val="0"/>
        <w:adjustRightInd/>
        <w:snapToGrid/>
        <w:ind w:firstLine="643" w:firstLineChars="200"/>
        <w:jc w:val="left"/>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14:textFill>
            <w14:solidFill>
              <w14:schemeClr w14:val="tx1"/>
            </w14:solidFill>
          </w14:textFill>
        </w:rPr>
        <w:t>第一条</w:t>
      </w: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为深入贯彻落实</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党的二十大和二十届三中全会关于进一步</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深化人才发展体制机制改革</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的部署要求</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，加强我区人才队伍建设，优化人才队伍结构，积极引进</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高层次</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急需紧缺人才，大力培养本土人才</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做优做实人才“引、育、用、留”，建立健全科学、精准、有效的人才工作体系，完善人才自主培养机制，现依据内蒙古</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自治区和</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巴彦淖尔市</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有关政策</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规定</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，结合我区实际，制定本办法。</w:t>
      </w:r>
    </w:p>
    <w:p w14:paraId="3D6AB7D9">
      <w:pPr>
        <w:spacing w:line="560" w:lineRule="exact"/>
        <w:ind w:firstLine="643" w:firstLineChars="200"/>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14:textFill>
            <w14:solidFill>
              <w14:schemeClr w14:val="tx1"/>
            </w14:solidFill>
          </w14:textFill>
        </w:rPr>
        <w:t>第二条</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临河区直属及部门所属</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事业单位引进和培养人才执行本办法，参照公务员法管理单位不适用本办法。</w:t>
      </w:r>
    </w:p>
    <w:p w14:paraId="67213053">
      <w:pPr>
        <w:keepNext w:val="0"/>
        <w:keepLines w:val="0"/>
        <w:widowControl/>
        <w:suppressLineNumbers w:val="0"/>
        <w:ind w:firstLine="643" w:firstLineChars="200"/>
        <w:jc w:val="left"/>
        <w:rPr>
          <w:color w:val="000000" w:themeColor="text1"/>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第三条</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 xml:space="preserve"> 我区对引进的高层次急需紧缺人才在科研项目、岗</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位待遇、生活保障等方面给予支持。</w:t>
      </w:r>
    </w:p>
    <w:p w14:paraId="7E2E180D">
      <w:pPr>
        <w:spacing w:line="560" w:lineRule="exact"/>
        <w:ind w:firstLine="640"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区内优秀人才符合本办法规定条件，并正在承担或主持重大</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科研项目的，用人单位可参照本办法中同类人才标准落实相应的激励保障待遇</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w:t>
      </w:r>
    </w:p>
    <w:p w14:paraId="12F67D1A">
      <w:pPr>
        <w:spacing w:line="560" w:lineRule="exact"/>
        <w:ind w:firstLine="640"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科研经费等政策支持不重复享受。</w:t>
      </w:r>
    </w:p>
    <w:p w14:paraId="51D28D59">
      <w:pPr>
        <w:spacing w:line="560" w:lineRule="exact"/>
        <w:ind w:firstLine="643" w:firstLineChars="200"/>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14:textFill>
            <w14:solidFill>
              <w14:schemeClr w14:val="tx1"/>
            </w14:solidFill>
          </w14:textFill>
        </w:rPr>
        <w:t>第</w:t>
      </w: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四</w:t>
      </w:r>
      <w:r>
        <w:rPr>
          <w:rFonts w:hint="eastAsia" w:ascii="仿宋_GB2312" w:hAnsi="仿宋_GB2312" w:eastAsia="仿宋_GB2312" w:cs="仿宋_GB2312"/>
          <w:b/>
          <w:bCs/>
          <w:color w:val="000000" w:themeColor="text1"/>
          <w:sz w:val="32"/>
          <w:szCs w:val="32"/>
          <w:highlight w:val="none"/>
          <w:u w:val="none"/>
          <w14:textFill>
            <w14:solidFill>
              <w14:schemeClr w14:val="tx1"/>
            </w14:solidFill>
          </w14:textFill>
        </w:rPr>
        <w:t>条</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设</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立区人才引进工作</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办公室</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作为全区人才引进工作的日常办事机构，负责组织协调和具体实施人才引进工作重大事项、认定引进人才类别、协调督促落实优惠政策等，并指导各部门人才引进工作，支持用人单位采取多种有效形式引进人才。办公室设在区人力资源和社会保障局。</w:t>
      </w:r>
    </w:p>
    <w:p w14:paraId="4502A1F8">
      <w:pPr>
        <w:spacing w:line="560" w:lineRule="exact"/>
        <w:jc w:val="center"/>
        <w:rPr>
          <w:rFonts w:ascii="黑体" w:hAnsi="黑体" w:eastAsia="黑体" w:cs="黑体"/>
          <w:b w:val="0"/>
          <w:bCs w:val="0"/>
          <w:color w:val="000000" w:themeColor="text1"/>
          <w:sz w:val="32"/>
          <w:szCs w:val="32"/>
          <w:highlight w:val="none"/>
          <w:u w:val="none"/>
          <w14:textFill>
            <w14:solidFill>
              <w14:schemeClr w14:val="tx1"/>
            </w14:solidFill>
          </w14:textFill>
        </w:rPr>
      </w:pPr>
    </w:p>
    <w:p w14:paraId="7FEBA929">
      <w:pPr>
        <w:numPr>
          <w:ilvl w:val="0"/>
          <w:numId w:val="1"/>
        </w:numPr>
        <w:spacing w:line="560" w:lineRule="exact"/>
        <w:jc w:val="center"/>
        <w:outlineLvl w:val="0"/>
        <w:rPr>
          <w:rFonts w:hint="eastAsia" w:ascii="黑体" w:hAnsi="黑体" w:eastAsia="黑体" w:cs="黑体"/>
          <w:b w:val="0"/>
          <w:bCs w:val="0"/>
          <w:color w:val="000000" w:themeColor="text1"/>
          <w:sz w:val="32"/>
          <w:szCs w:val="32"/>
          <w:highlight w:val="none"/>
          <w:u w:val="none"/>
          <w14:textFill>
            <w14:solidFill>
              <w14:schemeClr w14:val="tx1"/>
            </w14:solidFill>
          </w14:textFill>
        </w:rPr>
      </w:pPr>
      <w:r>
        <w:rPr>
          <w:rFonts w:hint="eastAsia" w:ascii="黑体" w:hAnsi="黑体" w:eastAsia="黑体" w:cs="黑体"/>
          <w:b w:val="0"/>
          <w:bCs w:val="0"/>
          <w:color w:val="000000" w:themeColor="text1"/>
          <w:sz w:val="32"/>
          <w:szCs w:val="32"/>
          <w:highlight w:val="none"/>
          <w:u w:val="none"/>
          <w14:textFill>
            <w14:solidFill>
              <w14:schemeClr w14:val="tx1"/>
            </w14:solidFill>
          </w14:textFill>
        </w:rPr>
        <w:t xml:space="preserve"> 人才引进范围</w:t>
      </w:r>
    </w:p>
    <w:p w14:paraId="6A8C34F0">
      <w:pPr>
        <w:numPr>
          <w:ilvl w:val="0"/>
          <w:numId w:val="0"/>
        </w:numPr>
        <w:spacing w:line="560" w:lineRule="exact"/>
        <w:jc w:val="both"/>
        <w:rPr>
          <w:rFonts w:hint="eastAsia" w:ascii="黑体" w:hAnsi="黑体" w:eastAsia="黑体" w:cs="黑体"/>
          <w:b w:val="0"/>
          <w:bCs w:val="0"/>
          <w:color w:val="000000" w:themeColor="text1"/>
          <w:sz w:val="32"/>
          <w:szCs w:val="32"/>
          <w:highlight w:val="none"/>
          <w:u w:val="none"/>
          <w14:textFill>
            <w14:solidFill>
              <w14:schemeClr w14:val="tx1"/>
            </w14:solidFill>
          </w14:textFill>
        </w:rPr>
      </w:pPr>
    </w:p>
    <w:p w14:paraId="3E1C5911">
      <w:pPr>
        <w:spacing w:line="560" w:lineRule="exact"/>
        <w:ind w:firstLine="643"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14:textFill>
            <w14:solidFill>
              <w14:schemeClr w14:val="tx1"/>
            </w14:solidFill>
          </w14:textFill>
        </w:rPr>
        <w:t>第</w:t>
      </w: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b/>
          <w:bCs/>
          <w:color w:val="000000" w:themeColor="text1"/>
          <w:sz w:val="32"/>
          <w:szCs w:val="32"/>
          <w:highlight w:val="none"/>
          <w:u w:val="none"/>
          <w14:textFill>
            <w14:solidFill>
              <w14:schemeClr w14:val="tx1"/>
            </w14:solidFill>
          </w14:textFill>
        </w:rPr>
        <w:t>条</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 xml:space="preserve"> </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引进高层次急需紧缺人才范围。</w:t>
      </w:r>
    </w:p>
    <w:p w14:paraId="024C26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第一类：</w:t>
      </w:r>
    </w:p>
    <w:p w14:paraId="3EA48E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中国科学院院士、中国工程院院士（含外籍院士）。</w:t>
      </w:r>
    </w:p>
    <w:p w14:paraId="20573F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第二类：</w:t>
      </w:r>
    </w:p>
    <w:p w14:paraId="6BE17C0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进入中国科学院院士增选、中国工程院院士遴选的有效候选人。</w:t>
      </w:r>
    </w:p>
    <w:p w14:paraId="6AD6CE9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二</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国家自然科学奖、国家技术发明奖、国家科学技术进步二等奖及以上获得者。</w:t>
      </w:r>
    </w:p>
    <w:p w14:paraId="5D6688C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三</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“国家特支计划”杰出人才、领军人才和青年拔尖人才；哲学社会科学领域做出创造性成就和重大贡献、学术声望高的一级教授（资深教授）；海外一流大学或科研机构知名终身教授。</w:t>
      </w:r>
    </w:p>
    <w:p w14:paraId="072F303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国家自然科学基金重大项目、重点项目主持人或负责人；国家杰出青年科学基金获得者；国家社会科学基金重大项目主持人或负责人；全国杰出专业技术人才获得者；“长江学者奖励计划”特聘教授。</w:t>
      </w:r>
    </w:p>
    <w:p w14:paraId="3F7666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国家重点学科、实验室、工程技术研究中心学术（技术）带头人；“百千万人才工程”国家级人选；“青年长江学者”入选者；“创新人才推进计划”中青年科技创新领军人才；国家自然科学基金优秀青年科学基金获得者；中国科学院“百人计划”入选者。</w:t>
      </w:r>
    </w:p>
    <w:p w14:paraId="55B71C8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六</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我</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区</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优势特色产业、战略性新兴产业及社会事业发展等急需紧缺的其他相当层次人才。</w:t>
      </w:r>
    </w:p>
    <w:p w14:paraId="6F166A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第三类：</w:t>
      </w:r>
    </w:p>
    <w:p w14:paraId="5A8FC0E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具有国内外知名高校或科研院所的博士、博士后经历，且取得较高学术成就的。</w:t>
      </w:r>
    </w:p>
    <w:p w14:paraId="0AE3F7A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二</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具有国内一流高校与科研院所副高级以上专业技术职称，且取得突出学术成就的。</w:t>
      </w:r>
    </w:p>
    <w:p w14:paraId="05FEA64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三</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世界技能大赛金、银、铜牌和国家级一类技能竞赛前五名获得者；中华技能大奖获得者和全国技术能手；国家级技能大师工作室主要负责人；受省部级表彰的最高层次技能人才；具备绝技绝活的特殊技能人才及其他相当层次的技能人才。</w:t>
      </w:r>
    </w:p>
    <w:p w14:paraId="77C3FAD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我</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区</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优势特色产业、战略性新兴产业及社会事业发展等急需紧缺的其他相当层次人才。</w:t>
      </w:r>
    </w:p>
    <w:p w14:paraId="7BB2E9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第四类：</w:t>
      </w:r>
    </w:p>
    <w:p w14:paraId="1DC0A92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取得正高级专业技术职称人员。</w:t>
      </w:r>
    </w:p>
    <w:p w14:paraId="73366B6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二</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取得博士学位人员。</w:t>
      </w:r>
    </w:p>
    <w:p w14:paraId="75B1C53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三</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我</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区</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优势特色产业、战略性新兴产业及社会事业发展等急需紧缺的其他相当层次人才。</w:t>
      </w:r>
    </w:p>
    <w:p w14:paraId="5429AE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第五类：</w:t>
      </w:r>
    </w:p>
    <w:p w14:paraId="6DD733E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我</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区</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急需紧缺的副高级专业技术职称人员。</w:t>
      </w:r>
    </w:p>
    <w:p w14:paraId="47D8688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二</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我</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区</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急需紧缺的取得学历学位的普通高校硕士研究生。</w:t>
      </w:r>
    </w:p>
    <w:p w14:paraId="765BC2F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三</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国家级优秀文化艺术体育人才、非物质文化遗产传承人等。</w:t>
      </w:r>
    </w:p>
    <w:p w14:paraId="535E600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我</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区</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优势特色产业</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战略性新兴产业及社会事业发展等急需紧缺的其他人才。</w:t>
      </w:r>
    </w:p>
    <w:p w14:paraId="087D6534">
      <w:pPr>
        <w:spacing w:line="560" w:lineRule="exact"/>
        <w:jc w:val="center"/>
        <w:rPr>
          <w:rFonts w:ascii="黑体" w:hAnsi="黑体" w:eastAsia="黑体" w:cs="黑体"/>
          <w:b w:val="0"/>
          <w:bCs w:val="0"/>
          <w:color w:val="000000" w:themeColor="text1"/>
          <w:sz w:val="32"/>
          <w:szCs w:val="32"/>
          <w:highlight w:val="none"/>
          <w:u w:val="none"/>
          <w14:textFill>
            <w14:solidFill>
              <w14:schemeClr w14:val="tx1"/>
            </w14:solidFill>
          </w14:textFill>
        </w:rPr>
      </w:pPr>
    </w:p>
    <w:p w14:paraId="051C0C72">
      <w:pPr>
        <w:numPr>
          <w:ilvl w:val="0"/>
          <w:numId w:val="0"/>
        </w:numPr>
        <w:spacing w:line="560" w:lineRule="exact"/>
        <w:jc w:val="both"/>
        <w:outlineLvl w:val="0"/>
        <w:rPr>
          <w:rFonts w:hint="eastAsia" w:ascii="黑体" w:hAnsi="黑体" w:eastAsia="黑体" w:cs="黑体"/>
          <w:b w:val="0"/>
          <w:bCs w:val="0"/>
          <w:color w:val="000000" w:themeColor="text1"/>
          <w:sz w:val="32"/>
          <w:szCs w:val="32"/>
          <w:highlight w:val="none"/>
          <w:u w:val="none"/>
          <w14:textFill>
            <w14:solidFill>
              <w14:schemeClr w14:val="tx1"/>
            </w14:solidFill>
          </w14:textFill>
        </w:rPr>
      </w:pPr>
      <w:r>
        <w:rPr>
          <w:rFonts w:hint="eastAsia" w:ascii="黑体" w:hAnsi="黑体" w:eastAsia="黑体" w:cs="黑体"/>
          <w:b w:val="0"/>
          <w:bCs w:val="0"/>
          <w:color w:val="000000" w:themeColor="text1"/>
          <w:sz w:val="32"/>
          <w:szCs w:val="32"/>
          <w:highlight w:val="none"/>
          <w:u w:val="none"/>
          <w:lang w:val="en-US" w:eastAsia="zh-CN"/>
          <w14:textFill>
            <w14:solidFill>
              <w14:schemeClr w14:val="tx1"/>
            </w14:solidFill>
          </w14:textFill>
        </w:rPr>
        <w:t xml:space="preserve">              </w:t>
      </w:r>
      <w:r>
        <w:rPr>
          <w:rFonts w:hint="eastAsia" w:ascii="黑体" w:hAnsi="黑体" w:eastAsia="黑体" w:cs="黑体"/>
          <w:b w:val="0"/>
          <w:bCs w:val="0"/>
          <w:color w:val="000000" w:themeColor="text1"/>
          <w:sz w:val="32"/>
          <w:szCs w:val="32"/>
          <w:highlight w:val="none"/>
          <w:u w:val="none"/>
          <w14:textFill>
            <w14:solidFill>
              <w14:schemeClr w14:val="tx1"/>
            </w14:solidFill>
          </w14:textFill>
        </w:rPr>
        <w:t xml:space="preserve">第三章 </w:t>
      </w:r>
      <w:r>
        <w:rPr>
          <w:rFonts w:hint="eastAsia" w:ascii="黑体" w:hAnsi="黑体" w:eastAsia="黑体" w:cs="黑体"/>
          <w:b w:val="0"/>
          <w:bCs w:val="0"/>
          <w:color w:val="000000" w:themeColor="text1"/>
          <w:sz w:val="32"/>
          <w:szCs w:val="32"/>
          <w:highlight w:val="none"/>
          <w:u w:val="none"/>
          <w:lang w:val="en-US" w:eastAsia="zh-CN"/>
          <w14:textFill>
            <w14:solidFill>
              <w14:schemeClr w14:val="tx1"/>
            </w14:solidFill>
          </w14:textFill>
        </w:rPr>
        <w:t>人才引进的原则和方式</w:t>
      </w:r>
    </w:p>
    <w:p w14:paraId="59C5146B">
      <w:pPr>
        <w:spacing w:line="560" w:lineRule="exact"/>
        <w:jc w:val="center"/>
        <w:rPr>
          <w:rFonts w:ascii="黑体" w:hAnsi="黑体" w:eastAsia="黑体" w:cs="黑体"/>
          <w:b w:val="0"/>
          <w:bCs w:val="0"/>
          <w:color w:val="000000" w:themeColor="text1"/>
          <w:sz w:val="32"/>
          <w:szCs w:val="32"/>
          <w:highlight w:val="none"/>
          <w:u w:val="none"/>
          <w14:textFill>
            <w14:solidFill>
              <w14:schemeClr w14:val="tx1"/>
            </w14:solidFill>
          </w14:textFill>
        </w:rPr>
      </w:pPr>
    </w:p>
    <w:p w14:paraId="29210675">
      <w:pPr>
        <w:spacing w:line="560" w:lineRule="exact"/>
        <w:ind w:firstLine="643"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14:textFill>
            <w14:solidFill>
              <w14:schemeClr w14:val="tx1"/>
            </w14:solidFill>
          </w14:textFill>
        </w:rPr>
        <w:t>第</w:t>
      </w: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六</w:t>
      </w:r>
      <w:r>
        <w:rPr>
          <w:rFonts w:hint="eastAsia" w:ascii="仿宋_GB2312" w:hAnsi="仿宋_GB2312" w:eastAsia="仿宋_GB2312" w:cs="仿宋_GB2312"/>
          <w:b/>
          <w:bCs/>
          <w:color w:val="000000" w:themeColor="text1"/>
          <w:sz w:val="32"/>
          <w:szCs w:val="32"/>
          <w:highlight w:val="none"/>
          <w:u w:val="none"/>
          <w14:textFill>
            <w14:solidFill>
              <w14:schemeClr w14:val="tx1"/>
            </w14:solidFill>
          </w14:textFill>
        </w:rPr>
        <w:t>条</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 xml:space="preserve"> 人才引进工作坚持柔性与刚性并重的原则。</w:t>
      </w:r>
    </w:p>
    <w:p w14:paraId="775A9573">
      <w:pPr>
        <w:spacing w:line="560" w:lineRule="exact"/>
        <w:ind w:firstLine="640"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刚性引进的人才指人事关系通过聘用、调动等方式转入我</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区</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的人才。</w:t>
      </w:r>
    </w:p>
    <w:p w14:paraId="74F2D781">
      <w:pPr>
        <w:spacing w:line="560" w:lineRule="exact"/>
        <w:ind w:firstLine="640"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柔性引进的人才指在不改变人事、档案、户籍、社保等关系的前提下，通过顾问指导、挂职兼职、技术咨询、退休特聘、项目合作、联合研发、对口支持、人才租赁、互派培养等灵活多样的方式，与用人单位签订柔性引进协议，有具体明确的工作内容，协助用人单位完成重点科研、教学等相关工作并发挥重要作用的人才。本办法中第一至四类从事科研人才可柔性引进。</w:t>
      </w:r>
    </w:p>
    <w:p w14:paraId="20362D80">
      <w:pPr>
        <w:spacing w:line="560" w:lineRule="exact"/>
        <w:ind w:firstLine="643"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14:textFill>
            <w14:solidFill>
              <w14:schemeClr w14:val="tx1"/>
            </w14:solidFill>
          </w14:textFill>
        </w:rPr>
        <w:t>第</w:t>
      </w: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七</w:t>
      </w:r>
      <w:r>
        <w:rPr>
          <w:rFonts w:hint="eastAsia" w:ascii="仿宋_GB2312" w:hAnsi="仿宋_GB2312" w:eastAsia="仿宋_GB2312" w:cs="仿宋_GB2312"/>
          <w:b/>
          <w:bCs/>
          <w:color w:val="000000" w:themeColor="text1"/>
          <w:sz w:val="32"/>
          <w:szCs w:val="32"/>
          <w:highlight w:val="none"/>
          <w:u w:val="none"/>
          <w14:textFill>
            <w14:solidFill>
              <w14:schemeClr w14:val="tx1"/>
            </w14:solidFill>
          </w14:textFill>
        </w:rPr>
        <w:t>条</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 xml:space="preserve"> 事业单位可通过绿色通道刚性引进各类高层次急需紧缺人才，对不同层次的人才，采取差别化的引进方式。</w:t>
      </w:r>
    </w:p>
    <w:p w14:paraId="21C2C4CD">
      <w:pPr>
        <w:spacing w:line="560" w:lineRule="exact"/>
        <w:ind w:firstLine="640"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（一）引进第一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至</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三类人才的，采取“一事一议、特事特办”原则，引进单位直接向</w:t>
      </w:r>
      <w:r>
        <w:rPr>
          <w:rFonts w:hint="eastAsia" w:ascii="仿宋_GB2312" w:hAnsi="仿宋_GB2312" w:eastAsia="仿宋_GB2312" w:cs="仿宋_GB2312"/>
          <w:b w:val="0"/>
          <w:bCs w:val="0"/>
          <w:strike w:val="0"/>
          <w:dstrike w:val="0"/>
          <w:color w:val="000000" w:themeColor="text1"/>
          <w:sz w:val="32"/>
          <w:szCs w:val="32"/>
          <w:highlight w:val="none"/>
          <w:u w:val="none"/>
          <w14:textFill>
            <w14:solidFill>
              <w14:schemeClr w14:val="tx1"/>
            </w14:solidFill>
          </w14:textFill>
        </w:rPr>
        <w:t>区人才引进工作</w:t>
      </w:r>
      <w:r>
        <w:rPr>
          <w:rFonts w:hint="eastAsia" w:ascii="仿宋_GB2312" w:hAnsi="仿宋_GB2312" w:eastAsia="仿宋_GB2312" w:cs="仿宋_GB2312"/>
          <w:b w:val="0"/>
          <w:bCs w:val="0"/>
          <w:strike w:val="0"/>
          <w:dstrike w:val="0"/>
          <w:color w:val="000000" w:themeColor="text1"/>
          <w:sz w:val="32"/>
          <w:szCs w:val="32"/>
          <w:highlight w:val="none"/>
          <w:u w:val="none"/>
          <w:lang w:val="en-US" w:eastAsia="zh-CN"/>
          <w14:textFill>
            <w14:solidFill>
              <w14:schemeClr w14:val="tx1"/>
            </w14:solidFill>
          </w14:textFill>
        </w:rPr>
        <w:t>办公室</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提出申请、编制使用情况、拟引进人才资质证明、拟向引进人才提供薪酬、科研经费及租购房补贴等材料。区人才引进工作</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办公室</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组织专家对拟引进人才资质以及享受待遇进行评估。</w:t>
      </w:r>
    </w:p>
    <w:p w14:paraId="2EFA25C4">
      <w:pPr>
        <w:spacing w:line="560" w:lineRule="exact"/>
        <w:ind w:firstLine="640"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（二）引进第四</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至</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第</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类人才的，用人单位需在区委编委、市委编委核准用编计划的前提下，制定引进人才需求目录，经区人才引进工作</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办公室</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研究同意，报市人社局核准后，面向社会发布</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由用人主管单位制定综合测评方案</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其中引进第四类人才的，可采取组织专家专项考评的方式确定拟引进人才</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引进第五类人才</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应采取面试或笔试等必要的测评方法确定拟引进人才</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。综合测评方案制定、组织实施需在区人才引进工作</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办公室</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指导监督下进行。</w:t>
      </w:r>
    </w:p>
    <w:p w14:paraId="421C07F5">
      <w:pPr>
        <w:spacing w:line="560" w:lineRule="exact"/>
        <w:ind w:firstLine="640"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（三）对拟引进人才履行政审、体检、公示和集体研究等程序，并向区人才引进工作</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办公室</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提交相应材料。</w:t>
      </w:r>
    </w:p>
    <w:p w14:paraId="6126AAFF">
      <w:pPr>
        <w:spacing w:line="560" w:lineRule="exact"/>
        <w:ind w:firstLine="640"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（四）</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对</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符合条件且材料齐备的</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拟引进人才</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由</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区人才引进工作</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办公室报区政府研究同意后，上</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报市</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人才引进工作办公室备案</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组织、编办、人社部门</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要在批复后15个工作日内办理完成引进手续、列编注册手续。</w:t>
      </w:r>
    </w:p>
    <w:p w14:paraId="352B4600">
      <w:pPr>
        <w:spacing w:line="560" w:lineRule="exact"/>
        <w:ind w:firstLine="640"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（五）区委编办根据我区编制情况，设立一定数量人才专项编制，根据各单位引才实际，灵活调剂，保障刚性引才需要。</w:t>
      </w:r>
    </w:p>
    <w:p w14:paraId="74FBE0BA">
      <w:pPr>
        <w:keepNext w:val="0"/>
        <w:keepLines w:val="0"/>
        <w:widowControl/>
        <w:suppressLineNumbers w:val="0"/>
        <w:jc w:val="left"/>
        <w:rPr>
          <w:rFonts w:ascii="黑体" w:hAnsi="黑体" w:eastAsia="黑体" w:cs="黑体"/>
          <w:b w:val="0"/>
          <w:bCs w:val="0"/>
          <w:color w:val="000000" w:themeColor="text1"/>
          <w:sz w:val="32"/>
          <w:szCs w:val="32"/>
          <w:highlight w:val="none"/>
          <w:u w:val="none"/>
          <w14:textFill>
            <w14:solidFill>
              <w14:schemeClr w14:val="tx1"/>
            </w14:solidFill>
          </w14:textFill>
        </w:rPr>
      </w:pPr>
    </w:p>
    <w:p w14:paraId="04465090">
      <w:pPr>
        <w:numPr>
          <w:ilvl w:val="0"/>
          <w:numId w:val="2"/>
        </w:numPr>
        <w:spacing w:line="560" w:lineRule="exact"/>
        <w:jc w:val="center"/>
        <w:outlineLvl w:val="0"/>
        <w:rPr>
          <w:rFonts w:hint="eastAsia" w:ascii="黑体" w:hAnsi="黑体" w:eastAsia="黑体" w:cs="黑体"/>
          <w:b w:val="0"/>
          <w:bCs w:val="0"/>
          <w:color w:val="000000" w:themeColor="text1"/>
          <w:sz w:val="32"/>
          <w:szCs w:val="32"/>
          <w:highlight w:val="none"/>
          <w:u w:val="none"/>
          <w14:textFill>
            <w14:solidFill>
              <w14:schemeClr w14:val="tx1"/>
            </w14:solidFill>
          </w14:textFill>
        </w:rPr>
      </w:pPr>
      <w:r>
        <w:rPr>
          <w:rFonts w:hint="eastAsia" w:ascii="黑体" w:hAnsi="黑体" w:eastAsia="黑体" w:cs="黑体"/>
          <w:b w:val="0"/>
          <w:bCs w:val="0"/>
          <w:color w:val="000000" w:themeColor="text1"/>
          <w:sz w:val="32"/>
          <w:szCs w:val="32"/>
          <w:highlight w:val="none"/>
          <w:u w:val="none"/>
          <w14:textFill>
            <w14:solidFill>
              <w14:schemeClr w14:val="tx1"/>
            </w14:solidFill>
          </w14:textFill>
        </w:rPr>
        <w:t>人才激励</w:t>
      </w:r>
    </w:p>
    <w:p w14:paraId="2E4A9D9A">
      <w:pPr>
        <w:numPr>
          <w:ilvl w:val="0"/>
          <w:numId w:val="0"/>
        </w:numPr>
        <w:spacing w:line="560" w:lineRule="exact"/>
        <w:jc w:val="both"/>
        <w:rPr>
          <w:rFonts w:hint="eastAsia" w:ascii="黑体" w:hAnsi="黑体" w:eastAsia="黑体" w:cs="黑体"/>
          <w:b w:val="0"/>
          <w:bCs w:val="0"/>
          <w:color w:val="000000" w:themeColor="text1"/>
          <w:sz w:val="32"/>
          <w:szCs w:val="32"/>
          <w:highlight w:val="none"/>
          <w:u w:val="none"/>
          <w14:textFill>
            <w14:solidFill>
              <w14:schemeClr w14:val="tx1"/>
            </w14:solidFill>
          </w14:textFill>
        </w:rPr>
      </w:pPr>
    </w:p>
    <w:p w14:paraId="06967400">
      <w:pPr>
        <w:spacing w:line="560" w:lineRule="exact"/>
        <w:ind w:firstLine="643" w:firstLineChars="200"/>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第八条</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 xml:space="preserve"> 建立体现知识价值的薪酬分配体系，落实科技成</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果转化奖励措施。事业单位刚性引进人才可采取年薪制、协议工资制等，不计入单位绩效工资总量，所需资金由用人单位自行解决。</w:t>
      </w:r>
    </w:p>
    <w:p w14:paraId="0DAD8CF5">
      <w:pPr>
        <w:numPr>
          <w:ilvl w:val="0"/>
          <w:numId w:val="0"/>
        </w:numPr>
        <w:spacing w:line="560" w:lineRule="exact"/>
        <w:ind w:firstLine="643"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第九条</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 xml:space="preserve"> </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事业单位刚性引进第一至四类人才，且从事科研工作的，可根据工作需要与引进人才签订专门岗位聘用协议。专门岗位聘用协议应约定工作总体目标、具有相应水平的科研教</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学</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任务、聘用期限、岗位待遇、绩效考评等内容。</w:t>
      </w:r>
    </w:p>
    <w:p w14:paraId="0050D249">
      <w:pPr>
        <w:spacing w:line="560" w:lineRule="exact"/>
        <w:ind w:firstLine="643" w:firstLineChars="200"/>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第十条</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 xml:space="preserve"> </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专门岗位聘用协议须经</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区</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人才引进工作办公室</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组</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织专家进行评估，评估通过</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的</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在聘期内</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参照以下标准</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享受相关</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优</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惠政策。</w:t>
      </w:r>
    </w:p>
    <w:p w14:paraId="4B9C5C95">
      <w:pPr>
        <w:spacing w:line="560" w:lineRule="exact"/>
        <w:ind w:firstLine="640" w:firstLineChars="200"/>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引进第一类人才，</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给予50</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万元</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至</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0</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万元的税前年薪，一次</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性</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8</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0</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万元的住房补贴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从事自然科学研究的，</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给予</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500万元</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至</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1.5亿元的实验室建设及科研经费支持</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从事社会科学研究的，</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给予</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150万元</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至</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500万元的科研经费支持。</w:t>
      </w:r>
    </w:p>
    <w:p w14:paraId="40FF8498">
      <w:pPr>
        <w:spacing w:line="560" w:lineRule="exact"/>
        <w:ind w:firstLine="640" w:firstLineChars="200"/>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引进第二类人才，给予50万元至80万元税前年薪，一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次性</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50万元的住房补贴。从事自然科学研究的，</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给予</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150万元至300万元科研经费支持；从事社会科学研究的，</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给予</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50万元至10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0</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万元科研经费支持。</w:t>
      </w:r>
    </w:p>
    <w:p w14:paraId="677B5755">
      <w:pPr>
        <w:spacing w:line="560" w:lineRule="exact"/>
        <w:ind w:firstLine="640" w:firstLineChars="200"/>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引进第三类人才，</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给予</w:t>
      </w:r>
      <w:r>
        <w:rPr>
          <w:rFonts w:hint="default" w:ascii="仿宋_GB2312" w:hAnsi="仿宋_GB2312" w:eastAsia="仿宋_GB2312" w:cs="仿宋_GB2312"/>
          <w:b w:val="0"/>
          <w:bCs w:val="0"/>
          <w:color w:val="000000" w:themeColor="text1"/>
          <w:sz w:val="32"/>
          <w:szCs w:val="32"/>
          <w:highlight w:val="none"/>
          <w:u w:val="none"/>
          <w:lang w:val="en" w:eastAsia="zh-CN"/>
          <w14:textFill>
            <w14:solidFill>
              <w14:schemeClr w14:val="tx1"/>
            </w14:solidFill>
          </w14:textFill>
        </w:rPr>
        <w:t>60</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万元科研经费支持</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sz w:val="32"/>
          <w:szCs w:val="32"/>
          <w:highlight w:val="none"/>
          <w:u w:val="none"/>
          <w:lang w:val="en" w:eastAsia="zh-CN"/>
          <w14:textFill>
            <w14:solidFill>
              <w14:schemeClr w14:val="tx1"/>
            </w14:solidFill>
          </w14:textFill>
        </w:rPr>
        <w:t>40</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万元至</w:t>
      </w:r>
      <w:r>
        <w:rPr>
          <w:rFonts w:hint="default" w:ascii="仿宋_GB2312" w:hAnsi="仿宋_GB2312" w:eastAsia="仿宋_GB2312" w:cs="仿宋_GB2312"/>
          <w:b w:val="0"/>
          <w:bCs w:val="0"/>
          <w:color w:val="000000" w:themeColor="text1"/>
          <w:sz w:val="32"/>
          <w:szCs w:val="32"/>
          <w:highlight w:val="none"/>
          <w:u w:val="none"/>
          <w:lang w:val="en" w:eastAsia="zh-CN"/>
          <w14:textFill>
            <w14:solidFill>
              <w14:schemeClr w14:val="tx1"/>
            </w14:solidFill>
          </w14:textFill>
        </w:rPr>
        <w:t>60</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万元税前年薪，一次</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性</w:t>
      </w:r>
      <w:r>
        <w:rPr>
          <w:rFonts w:hint="default" w:ascii="仿宋_GB2312" w:hAnsi="仿宋_GB2312" w:eastAsia="仿宋_GB2312" w:cs="仿宋_GB2312"/>
          <w:b w:val="0"/>
          <w:bCs w:val="0"/>
          <w:color w:val="000000" w:themeColor="text1"/>
          <w:sz w:val="32"/>
          <w:szCs w:val="32"/>
          <w:highlight w:val="none"/>
          <w:u w:val="none"/>
          <w:lang w:val="en" w:eastAsia="zh-CN"/>
          <w14:textFill>
            <w14:solidFill>
              <w14:schemeClr w14:val="tx1"/>
            </w14:solidFill>
          </w14:textFill>
        </w:rPr>
        <w:t>40</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万元的住房补贴。</w:t>
      </w:r>
    </w:p>
    <w:p w14:paraId="75AF5B41">
      <w:pPr>
        <w:spacing w:line="560" w:lineRule="exact"/>
        <w:ind w:firstLine="640" w:firstLineChars="200"/>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引进第四类人才，</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给予</w:t>
      </w:r>
      <w:r>
        <w:rPr>
          <w:rFonts w:hint="default" w:ascii="仿宋_GB2312" w:hAnsi="仿宋_GB2312" w:eastAsia="仿宋_GB2312" w:cs="仿宋_GB2312"/>
          <w:b w:val="0"/>
          <w:bCs w:val="0"/>
          <w:color w:val="000000" w:themeColor="text1"/>
          <w:sz w:val="32"/>
          <w:szCs w:val="32"/>
          <w:highlight w:val="none"/>
          <w:u w:val="none"/>
          <w:lang w:val="en" w:eastAsia="zh-CN"/>
          <w14:textFill>
            <w14:solidFill>
              <w14:schemeClr w14:val="tx1"/>
            </w14:solidFill>
          </w14:textFill>
        </w:rPr>
        <w:t>30</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万元科研经费支持。</w:t>
      </w:r>
      <w:r>
        <w:rPr>
          <w:rFonts w:hint="default" w:ascii="仿宋_GB2312" w:hAnsi="仿宋_GB2312" w:eastAsia="仿宋_GB2312" w:cs="仿宋_GB2312"/>
          <w:b w:val="0"/>
          <w:bCs w:val="0"/>
          <w:color w:val="000000" w:themeColor="text1"/>
          <w:sz w:val="32"/>
          <w:szCs w:val="32"/>
          <w:highlight w:val="none"/>
          <w:u w:val="none"/>
          <w:lang w:val="en" w:eastAsia="zh-CN"/>
          <w14:textFill>
            <w14:solidFill>
              <w14:schemeClr w14:val="tx1"/>
            </w14:solidFill>
          </w14:textFill>
        </w:rPr>
        <w:t>2</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0</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万元</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至</w:t>
      </w:r>
      <w:r>
        <w:rPr>
          <w:rFonts w:hint="default" w:ascii="仿宋_GB2312" w:hAnsi="仿宋_GB2312" w:eastAsia="仿宋_GB2312" w:cs="仿宋_GB2312"/>
          <w:b w:val="0"/>
          <w:bCs w:val="0"/>
          <w:color w:val="000000" w:themeColor="text1"/>
          <w:sz w:val="32"/>
          <w:szCs w:val="32"/>
          <w:highlight w:val="none"/>
          <w:u w:val="none"/>
          <w:lang w:val="en" w:eastAsia="zh-CN"/>
          <w14:textFill>
            <w14:solidFill>
              <w14:schemeClr w14:val="tx1"/>
            </w14:solidFill>
          </w14:textFill>
        </w:rPr>
        <w:t>4</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0</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万元税前年薪，一次</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性</w:t>
      </w:r>
      <w:r>
        <w:rPr>
          <w:rFonts w:hint="default" w:ascii="仿宋_GB2312" w:hAnsi="仿宋_GB2312" w:eastAsia="仿宋_GB2312" w:cs="仿宋_GB2312"/>
          <w:b w:val="0"/>
          <w:bCs w:val="0"/>
          <w:color w:val="000000" w:themeColor="text1"/>
          <w:sz w:val="32"/>
          <w:szCs w:val="32"/>
          <w:highlight w:val="none"/>
          <w:u w:val="none"/>
          <w:lang w:val="en" w:eastAsia="zh-CN"/>
          <w14:textFill>
            <w14:solidFill>
              <w14:schemeClr w14:val="tx1"/>
            </w14:solidFill>
          </w14:textFill>
        </w:rPr>
        <w:t>3</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0万元住房补贴。</w:t>
      </w:r>
    </w:p>
    <w:p w14:paraId="3F12A237">
      <w:pPr>
        <w:numPr>
          <w:ilvl w:val="0"/>
          <w:numId w:val="0"/>
        </w:numPr>
        <w:spacing w:line="560" w:lineRule="exact"/>
        <w:ind w:firstLine="643"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第十一条 </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建设区级人才公寓，根据引进人才类别，按照“高层次优先”的原则，经用人单位申请，为在临河区无自有住房的人才提供住房保障。</w:t>
      </w:r>
    </w:p>
    <w:p w14:paraId="3F7D83A7">
      <w:pPr>
        <w:numPr>
          <w:ilvl w:val="0"/>
          <w:numId w:val="0"/>
        </w:numPr>
        <w:spacing w:line="560" w:lineRule="exact"/>
        <w:ind w:firstLine="643"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第十二条 </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刚性引进人才在临河区无自有住房，且未入住人才公寓的，给予为期三年的租房补贴。租房补贴标准：第一类人才每年4万元，第二、三类人才每年3万元，第四类人才每年2万元。</w:t>
      </w:r>
    </w:p>
    <w:p w14:paraId="66B62892">
      <w:pPr>
        <w:numPr>
          <w:ilvl w:val="0"/>
          <w:numId w:val="0"/>
        </w:numPr>
        <w:spacing w:line="560" w:lineRule="exact"/>
        <w:ind w:firstLine="640" w:firstLineChars="200"/>
        <w:jc w:val="left"/>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刚性引进的第五类人才</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按照2万元的标准发放一次性</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住（租）房补贴</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p>
    <w:p w14:paraId="1295ADD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第十三条 </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区</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直单位刚性引进的人才，符合临河区新就业人员公租房保障条件的，可在临河区申请租赁公租房、购买公租房。</w:t>
      </w:r>
    </w:p>
    <w:p w14:paraId="21342CB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以上条款中关于住（租）房补贴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购买或租赁公租房等优惠政策，引进人才只能享受其中一项，不重复予以补贴。</w:t>
      </w:r>
    </w:p>
    <w:p w14:paraId="19F4EF7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第十四条 </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事业单位柔性引进第一至四类人才，作为项目主要成员，从事与我</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区</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重点产业发展和重点行业领域建设相关科学研究的，并获得国家级、自治区（省、直辖市）级立项的项目，项目进行期间，按照下列标准给予引进单位工作经费支持，支持经费可用于项目研究、引进人才租房补贴或支付往返交通费、住宿费等。</w:t>
      </w:r>
    </w:p>
    <w:p w14:paraId="26C3C02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（一）第一类人才，每</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年20</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万元。</w:t>
      </w:r>
    </w:p>
    <w:p w14:paraId="62766C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（二）第二类人才，每</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年</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15万元。</w:t>
      </w:r>
    </w:p>
    <w:p w14:paraId="0D386B6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（三）第三、四类人才，每年10万元。</w:t>
      </w:r>
    </w:p>
    <w:p w14:paraId="0E829FCB">
      <w:pPr>
        <w:spacing w:line="560" w:lineRule="exact"/>
        <w:jc w:val="center"/>
        <w:rPr>
          <w:rFonts w:hint="eastAsia" w:ascii="黑体" w:hAnsi="黑体" w:eastAsia="黑体" w:cs="黑体"/>
          <w:b w:val="0"/>
          <w:bCs w:val="0"/>
          <w:color w:val="000000" w:themeColor="text1"/>
          <w:sz w:val="32"/>
          <w:szCs w:val="32"/>
          <w:highlight w:val="none"/>
          <w:u w:val="none"/>
          <w14:textFill>
            <w14:solidFill>
              <w14:schemeClr w14:val="tx1"/>
            </w14:solidFill>
          </w14:textFill>
        </w:rPr>
      </w:pPr>
    </w:p>
    <w:p w14:paraId="7F81B4A0">
      <w:pPr>
        <w:spacing w:line="560" w:lineRule="exact"/>
        <w:jc w:val="center"/>
        <w:outlineLvl w:val="0"/>
        <w:rPr>
          <w:rFonts w:hint="eastAsia" w:ascii="黑体" w:hAnsi="黑体" w:eastAsia="黑体" w:cs="黑体"/>
          <w:b w:val="0"/>
          <w:bCs w:val="0"/>
          <w:color w:val="000000" w:themeColor="text1"/>
          <w:sz w:val="32"/>
          <w:szCs w:val="32"/>
          <w:highlight w:val="none"/>
          <w:u w:val="none"/>
          <w:lang w:val="en-US" w:eastAsia="zh-CN"/>
          <w14:textFill>
            <w14:solidFill>
              <w14:schemeClr w14:val="tx1"/>
            </w14:solidFill>
          </w14:textFill>
        </w:rPr>
      </w:pPr>
      <w:r>
        <w:rPr>
          <w:rFonts w:hint="eastAsia" w:ascii="黑体" w:hAnsi="黑体" w:eastAsia="黑体" w:cs="黑体"/>
          <w:b w:val="0"/>
          <w:bCs w:val="0"/>
          <w:color w:val="000000" w:themeColor="text1"/>
          <w:sz w:val="32"/>
          <w:szCs w:val="32"/>
          <w:highlight w:val="none"/>
          <w:u w:val="none"/>
          <w14:textFill>
            <w14:solidFill>
              <w14:schemeClr w14:val="tx1"/>
            </w14:solidFill>
          </w14:textFill>
        </w:rPr>
        <w:t>第</w:t>
      </w:r>
      <w:r>
        <w:rPr>
          <w:rFonts w:hint="eastAsia" w:ascii="黑体" w:hAnsi="黑体" w:eastAsia="黑体" w:cs="黑体"/>
          <w:b w:val="0"/>
          <w:bCs w:val="0"/>
          <w:color w:val="000000" w:themeColor="text1"/>
          <w:sz w:val="32"/>
          <w:szCs w:val="32"/>
          <w:highlight w:val="none"/>
          <w:u w:val="none"/>
          <w:lang w:val="en-US" w:eastAsia="zh-CN"/>
          <w14:textFill>
            <w14:solidFill>
              <w14:schemeClr w14:val="tx1"/>
            </w14:solidFill>
          </w14:textFill>
        </w:rPr>
        <w:t>五</w:t>
      </w:r>
      <w:r>
        <w:rPr>
          <w:rFonts w:hint="eastAsia" w:ascii="黑体" w:hAnsi="黑体" w:eastAsia="黑体" w:cs="黑体"/>
          <w:b w:val="0"/>
          <w:bCs w:val="0"/>
          <w:color w:val="000000" w:themeColor="text1"/>
          <w:sz w:val="32"/>
          <w:szCs w:val="32"/>
          <w:highlight w:val="none"/>
          <w:u w:val="none"/>
          <w14:textFill>
            <w14:solidFill>
              <w14:schemeClr w14:val="tx1"/>
            </w14:solidFill>
          </w14:textFill>
        </w:rPr>
        <w:t>章 人才</w:t>
      </w:r>
      <w:r>
        <w:rPr>
          <w:rFonts w:hint="eastAsia" w:ascii="黑体" w:hAnsi="黑体" w:eastAsia="黑体" w:cs="黑体"/>
          <w:b w:val="0"/>
          <w:bCs w:val="0"/>
          <w:color w:val="000000" w:themeColor="text1"/>
          <w:sz w:val="32"/>
          <w:szCs w:val="32"/>
          <w:highlight w:val="none"/>
          <w:u w:val="none"/>
          <w:lang w:val="en-US" w:eastAsia="zh-CN"/>
          <w14:textFill>
            <w14:solidFill>
              <w14:schemeClr w14:val="tx1"/>
            </w14:solidFill>
          </w14:textFill>
        </w:rPr>
        <w:t>培养</w:t>
      </w:r>
    </w:p>
    <w:p w14:paraId="5C543D83">
      <w:pPr>
        <w:spacing w:line="560" w:lineRule="exact"/>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p>
    <w:p w14:paraId="1C3AA9D9">
      <w:pPr>
        <w:spacing w:line="560" w:lineRule="exact"/>
        <w:ind w:firstLine="643" w:firstLineChars="200"/>
        <w:rPr>
          <w:rFonts w:ascii="黑体" w:hAnsi="黑体" w:eastAsia="黑体" w:cs="黑体"/>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第十五条 </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鼓励和支持教育、卫健、农</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业、科技</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等人才队伍建设牵头单位加强人才队伍培养。根据我</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区</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经济社会发展情况，每年选择重点行业领域，支持相关人才队伍建设，并给予牵头单位10—20万元资助，用于开展人才培训、学术交流、研修进修等活动。</w:t>
      </w:r>
    </w:p>
    <w:p w14:paraId="73F03BE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第十六条 </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刚性引进的博士研究生，在我</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区</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创新创业企业、园区、科研院所和其他各类创新主体中组建博士科研工作站，经</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区</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组织、</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农科</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、人社部门评审批准的，一次性给予10万元建站经费。</w:t>
      </w:r>
    </w:p>
    <w:p w14:paraId="579B074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第十七条 </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大力推进建设院士专家工作站和博士后科研工作站，积极吸引两院院士及其创新团队、知名高校博士进站开展工作。对自治区认定的院士专家工作站，除自治区给予的启动经费外，一次性给予30万元资助。经国家批准的博士后科研工作站，一次性给予20万元资助。</w:t>
      </w:r>
    </w:p>
    <w:p w14:paraId="6EC3205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第十八条 </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对入选国家级的工程技术研究中心、企业研究开发中心、重点实验室，一次性给予100万元资助；入选自治区级的，一次性给予10—15万元资助。资助资金用于研究、测试等软硬件建设及原材料、人员等投入。</w:t>
      </w:r>
    </w:p>
    <w:p w14:paraId="00FFC7F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第十九条 </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加大高技能人才培养载体建设力度，对经认定并正常运行的国家级高技能人才培训基地，一次性给予50万元资助；自治区级的，一次性给予10万元资助。对经认定并正常运行的国家和自治区级技能大师工作室，一次性给予10万元资助。</w:t>
      </w:r>
    </w:p>
    <w:p w14:paraId="3B26B37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第二十条 </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各领域人才（团队）在我</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区</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创新创业期间，申报</w:t>
      </w:r>
    </w:p>
    <w:p w14:paraId="3E066ED7">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并成功入选国家、自治区级人才工程的，每成功1人（个），分别给予用人单位10万元、5万元的高层次人才（团队）培养奖励。</w:t>
      </w:r>
    </w:p>
    <w:p w14:paraId="2D8E7732">
      <w:pPr>
        <w:spacing w:line="560" w:lineRule="exact"/>
        <w:ind w:firstLine="643" w:firstLineChars="200"/>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第二十一条 </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鼓励高层次人才带高新技术研发成果、专利技术等自主知识产权项目，在我</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区</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企业实现成果转化和产业化。经评审可行并认定实现成果转化的项目，一次性给予最高20万元资助。</w:t>
      </w:r>
    </w:p>
    <w:p w14:paraId="38696617">
      <w:pPr>
        <w:spacing w:line="560" w:lineRule="exact"/>
        <w:ind w:firstLine="643" w:firstLineChars="200"/>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第二十二条 </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刚性引进的</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高层次</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人才，组织部门积极推荐参</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评</w:t>
      </w:r>
      <w:r>
        <w:rPr>
          <w:rFonts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草原英才”。柔性引进人才在柔性流动岗位贡献突出的</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引进单位可优先推荐参评“河套英才”“草原英才”等人才评审</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项</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目。</w:t>
      </w:r>
    </w:p>
    <w:p w14:paraId="7298FBEA">
      <w:pPr>
        <w:spacing w:line="560" w:lineRule="exact"/>
        <w:jc w:val="both"/>
        <w:rPr>
          <w:rFonts w:hint="eastAsia" w:ascii="黑体" w:hAnsi="黑体" w:eastAsia="黑体" w:cs="黑体"/>
          <w:b w:val="0"/>
          <w:bCs w:val="0"/>
          <w:color w:val="000000" w:themeColor="text1"/>
          <w:sz w:val="32"/>
          <w:szCs w:val="32"/>
          <w:highlight w:val="none"/>
          <w:u w:val="none"/>
          <w14:textFill>
            <w14:solidFill>
              <w14:schemeClr w14:val="tx1"/>
            </w14:solidFill>
          </w14:textFill>
        </w:rPr>
      </w:pPr>
    </w:p>
    <w:p w14:paraId="7FDD5E99">
      <w:pPr>
        <w:spacing w:line="560" w:lineRule="exact"/>
        <w:jc w:val="center"/>
        <w:outlineLvl w:val="0"/>
        <w:rPr>
          <w:rFonts w:ascii="黑体" w:hAnsi="黑体" w:eastAsia="黑体" w:cs="黑体"/>
          <w:b w:val="0"/>
          <w:bCs w:val="0"/>
          <w:color w:val="000000" w:themeColor="text1"/>
          <w:sz w:val="32"/>
          <w:szCs w:val="32"/>
          <w:highlight w:val="none"/>
          <w:u w:val="none"/>
          <w14:textFill>
            <w14:solidFill>
              <w14:schemeClr w14:val="tx1"/>
            </w14:solidFill>
          </w14:textFill>
        </w:rPr>
      </w:pPr>
      <w:r>
        <w:rPr>
          <w:rFonts w:hint="eastAsia" w:ascii="黑体" w:hAnsi="黑体" w:eastAsia="黑体" w:cs="黑体"/>
          <w:b w:val="0"/>
          <w:bCs w:val="0"/>
          <w:color w:val="000000" w:themeColor="text1"/>
          <w:sz w:val="32"/>
          <w:szCs w:val="32"/>
          <w:highlight w:val="none"/>
          <w:u w:val="none"/>
          <w14:textFill>
            <w14:solidFill>
              <w14:schemeClr w14:val="tx1"/>
            </w14:solidFill>
          </w14:textFill>
        </w:rPr>
        <w:t>第</w:t>
      </w:r>
      <w:r>
        <w:rPr>
          <w:rFonts w:hint="eastAsia" w:ascii="黑体" w:hAnsi="黑体" w:eastAsia="黑体" w:cs="黑体"/>
          <w:b w:val="0"/>
          <w:bCs w:val="0"/>
          <w:color w:val="000000" w:themeColor="text1"/>
          <w:sz w:val="32"/>
          <w:szCs w:val="32"/>
          <w:highlight w:val="none"/>
          <w:u w:val="none"/>
          <w:lang w:eastAsia="zh-CN"/>
          <w14:textFill>
            <w14:solidFill>
              <w14:schemeClr w14:val="tx1"/>
            </w14:solidFill>
          </w14:textFill>
        </w:rPr>
        <w:t>六</w:t>
      </w:r>
      <w:r>
        <w:rPr>
          <w:rFonts w:hint="eastAsia" w:ascii="黑体" w:hAnsi="黑体" w:eastAsia="黑体" w:cs="黑体"/>
          <w:b w:val="0"/>
          <w:bCs w:val="0"/>
          <w:color w:val="000000" w:themeColor="text1"/>
          <w:sz w:val="32"/>
          <w:szCs w:val="32"/>
          <w:highlight w:val="none"/>
          <w:u w:val="none"/>
          <w14:textFill>
            <w14:solidFill>
              <w14:schemeClr w14:val="tx1"/>
            </w14:solidFill>
          </w14:textFill>
        </w:rPr>
        <w:t>章 人才管理和使用</w:t>
      </w:r>
    </w:p>
    <w:p w14:paraId="03F6009C">
      <w:pPr>
        <w:spacing w:line="560" w:lineRule="exact"/>
        <w:ind w:firstLine="640"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p>
    <w:p w14:paraId="4D880B17">
      <w:pPr>
        <w:spacing w:line="560" w:lineRule="exact"/>
        <w:ind w:firstLine="643"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第二十三条 </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实行试用期制度，引进到我区工作的高层次人才有相关工作经历的高层次人才试用期为三个月。</w:t>
      </w:r>
    </w:p>
    <w:p w14:paraId="227F19A8">
      <w:pPr>
        <w:spacing w:line="560" w:lineRule="exact"/>
        <w:ind w:firstLine="643"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第二十四条 </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事业单位刚性引进人才试用期满，根据工作需要，经组织人社部门审核备案后，博士研究生可担任七级管理岗位领导职务、硕士研究生可担任八级管理岗位领导职务；区内现有在编在岗的博士研究生符合任职条件的可按需担任七级管理岗位领导职务。特别优秀的可采取破格方式提任到更高职务层次领导岗位。</w:t>
      </w:r>
    </w:p>
    <w:p w14:paraId="5F5FE849">
      <w:pPr>
        <w:spacing w:line="560" w:lineRule="exact"/>
        <w:ind w:firstLine="643"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第二十五条 </w:t>
      </w:r>
      <w:r>
        <w:rPr>
          <w:rFonts w:hint="eastAsia" w:ascii="仿宋_GB2312" w:hAnsi="仿宋_GB2312" w:eastAsia="仿宋_GB2312" w:cs="仿宋_GB2312"/>
          <w:b w:val="0"/>
          <w:bCs w:val="0"/>
          <w:color w:val="auto"/>
          <w:sz w:val="32"/>
          <w:szCs w:val="32"/>
          <w:highlight w:val="none"/>
          <w:u w:val="none"/>
        </w:rPr>
        <w:t>调入我区工作的高层次人才中的专业技术人员可不受专业技术职称职数和单位岗位数限制，直接聘任相应的专业技术</w:t>
      </w:r>
      <w:r>
        <w:rPr>
          <w:rFonts w:hint="eastAsia" w:ascii="仿宋_GB2312" w:hAnsi="仿宋_GB2312" w:eastAsia="仿宋_GB2312" w:cs="仿宋_GB2312"/>
          <w:b w:val="0"/>
          <w:bCs w:val="0"/>
          <w:color w:val="auto"/>
          <w:sz w:val="32"/>
          <w:szCs w:val="32"/>
          <w:highlight w:val="none"/>
          <w:u w:val="none"/>
          <w:lang w:val="en-US" w:eastAsia="zh-CN"/>
        </w:rPr>
        <w:t>职称</w:t>
      </w:r>
      <w:r>
        <w:rPr>
          <w:rFonts w:hint="eastAsia" w:ascii="仿宋_GB2312" w:hAnsi="仿宋_GB2312" w:eastAsia="仿宋_GB2312" w:cs="仿宋_GB2312"/>
          <w:b w:val="0"/>
          <w:bCs w:val="0"/>
          <w:color w:val="auto"/>
          <w:sz w:val="32"/>
          <w:szCs w:val="32"/>
          <w:highlight w:val="none"/>
          <w:u w:val="none"/>
        </w:rPr>
        <w:t>。</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辞职或主动离职来我区工作的高层次人才，原单位同意移交档案的，可按工作调动的有关程序办理相关手续，其在原单位工作时间可合并计算工龄；原单位不同意移交档案的，经用人单位考察、组织人社部门审核同意，重新建立其人事档案，原工龄以审核属实的工作经历为准，可连续计算，其工资待遇比照现任职务同类人员执行，对其原获得的各种荣誉称号予以承认、保留。</w:t>
      </w:r>
    </w:p>
    <w:p w14:paraId="6BAF12FE">
      <w:pPr>
        <w:spacing w:line="560" w:lineRule="exact"/>
        <w:ind w:firstLine="643" w:firstLineChars="200"/>
        <w:rPr>
          <w:rFonts w:ascii="仿宋_GB2312" w:hAnsi="仿宋_GB2312" w:eastAsia="仿宋_GB2312" w:cs="仿宋_GB2312"/>
          <w:b w:val="0"/>
          <w:bCs w:val="0"/>
          <w:color w:val="auto"/>
          <w:sz w:val="32"/>
          <w:szCs w:val="32"/>
          <w:highlight w:val="none"/>
          <w:u w:val="none"/>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第二十六条 </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落实面向基层、艰苦地区</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定向评价、定向使用”职称评聘政策，建立健全事业单位专业技术岗位动态调整机制。</w:t>
      </w:r>
      <w:r>
        <w:rPr>
          <w:rFonts w:ascii="仿宋_GB2312" w:hAnsi="仿宋_GB2312" w:eastAsia="仿宋_GB2312" w:cs="仿宋_GB2312"/>
          <w:b w:val="0"/>
          <w:bCs w:val="0"/>
          <w:color w:val="auto"/>
          <w:sz w:val="32"/>
          <w:szCs w:val="32"/>
          <w:highlight w:val="none"/>
          <w:u w:val="none"/>
        </w:rPr>
        <w:t>对业绩特别突出，在专业技术领域及社会各项事业发展中做出重大贡献的优秀人才</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w:t>
      </w:r>
      <w:r>
        <w:rPr>
          <w:rFonts w:ascii="仿宋_GB2312" w:hAnsi="仿宋_GB2312" w:eastAsia="仿宋_GB2312" w:cs="仿宋_GB2312"/>
          <w:b w:val="0"/>
          <w:bCs w:val="0"/>
          <w:color w:val="auto"/>
          <w:sz w:val="32"/>
          <w:szCs w:val="32"/>
          <w:highlight w:val="none"/>
          <w:u w:val="none"/>
        </w:rPr>
        <w:t>可通过绿色通道直接申报高级职称。</w:t>
      </w:r>
    </w:p>
    <w:p w14:paraId="7CDC5944">
      <w:pPr>
        <w:spacing w:line="560" w:lineRule="exact"/>
        <w:ind w:firstLine="643"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第二十七条 </w:t>
      </w:r>
      <w:r>
        <w:rPr>
          <w:rFonts w:hint="default" w:ascii="仿宋_GB2312" w:hAnsi="仿宋_GB2312" w:eastAsia="仿宋_GB2312" w:cs="仿宋_GB2312"/>
          <w:b w:val="0"/>
          <w:bCs w:val="0"/>
          <w:color w:val="000000" w:themeColor="text1"/>
          <w:sz w:val="32"/>
          <w:szCs w:val="32"/>
          <w:highlight w:val="none"/>
          <w:u w:val="none"/>
          <w:shd w:val="clear" w:color="auto" w:fill="auto"/>
          <w:lang w:val="en-US" w:eastAsia="zh-CN"/>
          <w14:textFill>
            <w14:solidFill>
              <w14:schemeClr w14:val="tx1"/>
            </w14:solidFill>
          </w14:textFill>
        </w:rPr>
        <w:t>事业单位刚性引进第一至四类人才和我</w:t>
      </w:r>
      <w:r>
        <w:rPr>
          <w:rFonts w:hint="eastAsia" w:ascii="仿宋_GB2312" w:hAnsi="仿宋_GB2312" w:eastAsia="仿宋_GB2312" w:cs="仿宋_GB2312"/>
          <w:b w:val="0"/>
          <w:bCs w:val="0"/>
          <w:color w:val="000000" w:themeColor="text1"/>
          <w:sz w:val="32"/>
          <w:szCs w:val="32"/>
          <w:highlight w:val="none"/>
          <w:u w:val="none"/>
          <w:shd w:val="clear" w:color="auto" w:fill="auto"/>
          <w:lang w:val="en-US" w:eastAsia="zh-CN"/>
          <w14:textFill>
            <w14:solidFill>
              <w14:schemeClr w14:val="tx1"/>
            </w14:solidFill>
          </w14:textFill>
        </w:rPr>
        <w:t>区</w:t>
      </w:r>
      <w:r>
        <w:rPr>
          <w:rFonts w:hint="default" w:ascii="仿宋_GB2312" w:hAnsi="仿宋_GB2312" w:eastAsia="仿宋_GB2312" w:cs="仿宋_GB2312"/>
          <w:b w:val="0"/>
          <w:bCs w:val="0"/>
          <w:color w:val="000000" w:themeColor="text1"/>
          <w:sz w:val="32"/>
          <w:szCs w:val="32"/>
          <w:highlight w:val="none"/>
          <w:u w:val="none"/>
          <w:shd w:val="clear" w:color="auto" w:fill="auto"/>
          <w:lang w:val="en-US" w:eastAsia="zh-CN"/>
          <w14:textFill>
            <w14:solidFill>
              <w14:schemeClr w14:val="tx1"/>
            </w14:solidFill>
          </w14:textFill>
        </w:rPr>
        <w:t>事业单位中业绩显著、贡献突出、行业和群众公认的现有优秀人才，取得相应资格证书但无相应岗位空缺的</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w:t>
      </w:r>
      <w:r>
        <w:rPr>
          <w:rFonts w:hint="default" w:ascii="仿宋_GB2312" w:hAnsi="仿宋_GB2312" w:eastAsia="仿宋_GB2312" w:cs="仿宋_GB2312"/>
          <w:b w:val="0"/>
          <w:bCs w:val="0"/>
          <w:color w:val="000000" w:themeColor="text1"/>
          <w:sz w:val="32"/>
          <w:szCs w:val="32"/>
          <w:highlight w:val="none"/>
          <w:u w:val="none"/>
          <w:shd w:val="clear" w:color="auto" w:fill="auto"/>
          <w:lang w:val="en-US" w:eastAsia="zh-CN"/>
          <w14:textFill>
            <w14:solidFill>
              <w14:schemeClr w14:val="tx1"/>
            </w14:solidFill>
          </w14:textFill>
        </w:rPr>
        <w:t>可申请通过设置特设岗位予以聘用。</w:t>
      </w:r>
    </w:p>
    <w:p w14:paraId="46C10670">
      <w:pPr>
        <w:spacing w:line="560" w:lineRule="exact"/>
        <w:ind w:firstLine="643"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第二十八条 </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获评“草原英才”等重大人才工程的各类人才，可破格申请高一级专业技术资格；所在单位无相应等级专业技术岗位空缺的，经市人社部门批准，可通过特设岗位予以聘用。</w:t>
      </w:r>
    </w:p>
    <w:p w14:paraId="644E8AA5">
      <w:pPr>
        <w:spacing w:line="560" w:lineRule="exact"/>
        <w:ind w:firstLine="643" w:firstLineChars="200"/>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第二十九条 </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对管理业绩突出，为当地经济做出突出贡献的或获得省部级及以上表彰奖励的干部（双肩挑人员），由用人单位按照岗位聘用有关程序，经单位主管部门同意、</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区</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人社</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局</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审核后，</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报市人社局审核备案后</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，可放宽聘用条件或越级聘用。</w:t>
      </w:r>
    </w:p>
    <w:p w14:paraId="781818BE">
      <w:pPr>
        <w:spacing w:line="560" w:lineRule="exact"/>
        <w:ind w:firstLine="643" w:firstLineChars="200"/>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第三十条 </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事业单位刚性引进人才签订专门岗位聘用协议的，聘任期内不得担任行政领导职务。担任行政领导职务的，须终止聘用协议。</w:t>
      </w:r>
    </w:p>
    <w:p w14:paraId="54C42A6B">
      <w:pPr>
        <w:spacing w:line="560" w:lineRule="exact"/>
        <w:ind w:firstLine="643" w:firstLineChars="200"/>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第三十一条 </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事业单位领导岗位出现空缺的，可优先提拔符合任职条件的引进人才。有计划地选派引进人才到乡镇等基层一线进行锻炼，为引进人才丰富阅历、拓展视野、提高素质、增长才干提供锻炼机会。</w:t>
      </w:r>
    </w:p>
    <w:p w14:paraId="3B18854A">
      <w:pPr>
        <w:spacing w:line="560" w:lineRule="exact"/>
        <w:ind w:firstLine="643"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第三十二条 </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注重从符合条件的引进人才中推荐党代表、人</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大代表、政协委员，选拔德才兼备、拔尖优秀人才到各级党委、人大、政府、政协、人民团体、企事业单位和社会组织等任职。</w:t>
      </w:r>
    </w:p>
    <w:p w14:paraId="2257103B">
      <w:pPr>
        <w:spacing w:line="560" w:lineRule="exact"/>
        <w:ind w:firstLine="643"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第三十三条 </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事业单位刚性引进人才，服务期限不少于</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八</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年，服务期内一般不得申请调离。必须调离的，应当经区人才引进工作办公室审核，同意后方可调离</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调离的人才须根据服务年限或专门岗位聘用协议，退回相关经费</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w:t>
      </w:r>
    </w:p>
    <w:p w14:paraId="6AB3CBB1">
      <w:pPr>
        <w:spacing w:line="560" w:lineRule="exact"/>
        <w:ind w:firstLine="643"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第三十四条 </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用人单位应按人才引进协议或专门岗位聘用协</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议等对引进人才进行考核，考核内容包括工作业绩、研究成果、成果转化、日常表现等方面，考核结果作为转正定级、职务聘任、兑现补贴、经费支持、实施奖励的依据。凡不参加考核或经考核确定不能履行约定职责的，不再享受相应政策待遇并解除聘用合同或劳动合同</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人才引进变动情况应及时向</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组织、</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人社部门备案。</w:t>
      </w:r>
    </w:p>
    <w:p w14:paraId="5925C276">
      <w:pPr>
        <w:spacing w:line="560" w:lineRule="exact"/>
        <w:ind w:firstLine="643" w:firstLineChars="200"/>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第三十五条 </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组织、人社部门及用人单位要严格执行引进高层次人才的有关政策规定，严格把关，杜绝引进人才中的弄虚作假现象，确保引进人才的质量。</w:t>
      </w:r>
    </w:p>
    <w:p w14:paraId="1377ADF5">
      <w:pPr>
        <w:numPr>
          <w:ilvl w:val="0"/>
          <w:numId w:val="0"/>
        </w:numPr>
        <w:spacing w:line="560" w:lineRule="exact"/>
        <w:jc w:val="both"/>
        <w:rPr>
          <w:rFonts w:hint="eastAsia" w:ascii="黑体" w:hAnsi="黑体" w:eastAsia="黑体" w:cs="黑体"/>
          <w:b w:val="0"/>
          <w:bCs w:val="0"/>
          <w:color w:val="000000" w:themeColor="text1"/>
          <w:kern w:val="2"/>
          <w:sz w:val="32"/>
          <w:szCs w:val="32"/>
          <w:highlight w:val="none"/>
          <w:u w:val="none"/>
          <w:lang w:val="en-US" w:eastAsia="zh-CN" w:bidi="ar-SA"/>
          <w14:textFill>
            <w14:solidFill>
              <w14:schemeClr w14:val="tx1"/>
            </w14:solidFill>
          </w14:textFill>
        </w:rPr>
      </w:pPr>
    </w:p>
    <w:p w14:paraId="4F24DE51">
      <w:pPr>
        <w:numPr>
          <w:ilvl w:val="0"/>
          <w:numId w:val="0"/>
        </w:numPr>
        <w:spacing w:line="560" w:lineRule="exact"/>
        <w:jc w:val="center"/>
        <w:outlineLvl w:val="0"/>
        <w:rPr>
          <w:rFonts w:hint="eastAsia" w:ascii="黑体" w:hAnsi="黑体" w:eastAsia="黑体" w:cs="黑体"/>
          <w:b w:val="0"/>
          <w:bCs w:val="0"/>
          <w:color w:val="000000" w:themeColor="text1"/>
          <w:sz w:val="32"/>
          <w:szCs w:val="32"/>
          <w:highlight w:val="none"/>
          <w:u w:val="none"/>
          <w14:textFill>
            <w14:solidFill>
              <w14:schemeClr w14:val="tx1"/>
            </w14:solidFill>
          </w14:textFill>
        </w:rPr>
      </w:pPr>
      <w:r>
        <w:rPr>
          <w:rFonts w:hint="eastAsia" w:ascii="黑体" w:hAnsi="黑体" w:eastAsia="黑体" w:cs="黑体"/>
          <w:b w:val="0"/>
          <w:bCs w:val="0"/>
          <w:color w:val="000000" w:themeColor="text1"/>
          <w:kern w:val="2"/>
          <w:sz w:val="32"/>
          <w:szCs w:val="32"/>
          <w:highlight w:val="none"/>
          <w:u w:val="none"/>
          <w:lang w:val="en-US" w:eastAsia="zh-CN" w:bidi="ar-SA"/>
          <w14:textFill>
            <w14:solidFill>
              <w14:schemeClr w14:val="tx1"/>
            </w14:solidFill>
          </w14:textFill>
        </w:rPr>
        <w:t xml:space="preserve">第七章 </w:t>
      </w:r>
      <w:r>
        <w:rPr>
          <w:rFonts w:hint="eastAsia" w:ascii="黑体" w:hAnsi="黑体" w:eastAsia="黑体" w:cs="黑体"/>
          <w:b w:val="0"/>
          <w:bCs w:val="0"/>
          <w:color w:val="000000" w:themeColor="text1"/>
          <w:sz w:val="32"/>
          <w:szCs w:val="32"/>
          <w:highlight w:val="none"/>
          <w:u w:val="none"/>
          <w:lang w:val="en-US" w:eastAsia="zh-CN"/>
          <w14:textFill>
            <w14:solidFill>
              <w14:schemeClr w14:val="tx1"/>
            </w14:solidFill>
          </w14:textFill>
        </w:rPr>
        <w:t>服务保障</w:t>
      </w:r>
    </w:p>
    <w:p w14:paraId="7935542B">
      <w:pPr>
        <w:spacing w:line="560" w:lineRule="exact"/>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p>
    <w:p w14:paraId="6F94EC08">
      <w:pPr>
        <w:spacing w:line="560" w:lineRule="exact"/>
        <w:ind w:firstLine="643" w:firstLineChars="200"/>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第三十六条 </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引进的高层次人才可享受的</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服务保障</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w:t>
      </w:r>
    </w:p>
    <w:p w14:paraId="468CE5C1">
      <w:pPr>
        <w:spacing w:line="560" w:lineRule="exact"/>
        <w:ind w:firstLine="640"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一）</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加大人才关心关爱力度，事业单位刚性引进第一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类</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至四类人才，可在配偶和子女就业方面享受优惠政策。第一类人才的配偶和子女需要就业的，由</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区</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组织、人社部门负责解决就业；第二至四类刚性引进人才的配偶</w:t>
      </w:r>
      <w:r>
        <w:rPr>
          <w:rFonts w:hint="eastAsia" w:ascii="楷体_GB2312" w:hAnsi="楷体_GB2312" w:eastAsia="楷体_GB2312" w:cs="楷体_GB2312"/>
          <w:b/>
          <w:bCs/>
          <w:color w:val="000000" w:themeColor="text1"/>
          <w:sz w:val="28"/>
          <w:szCs w:val="28"/>
          <w:highlight w:val="none"/>
          <w:u w:val="none"/>
          <w:lang w:val="en-US" w:eastAsia="zh-CN"/>
          <w14:textFill>
            <w14:solidFill>
              <w14:schemeClr w14:val="tx1"/>
            </w14:solidFill>
          </w14:textFill>
        </w:rPr>
        <w:t>（具有全日制本科以上学历）</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需要就业，经引进单位同意，可通过人才引进“绿色通道”安置到引进单位</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。引进第一类至五类高层次人才子女需要在我区入学的，可选择优质公立中小学学校就读，由区教育部门负责协调办理入学手续。</w:t>
      </w:r>
    </w:p>
    <w:p w14:paraId="6ABB4B15">
      <w:pPr>
        <w:spacing w:line="560" w:lineRule="exact"/>
        <w:ind w:firstLine="640" w:firstLineChars="200"/>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二</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）引进人才本人或其直系亲属有就医需求的，可在我区公立医院享受“</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绿色通道”，优先提供专家门诊。对需到外地就医的，医保部门及时予以办理转诊备案手续，卫健部门积极协调对方医院，最大限度给予帮助。建立引进人才医疗保健制度，用人单位每年为引进的人才开展一次健康体检。</w:t>
      </w:r>
    </w:p>
    <w:p w14:paraId="56E85232">
      <w:pPr>
        <w:spacing w:line="560" w:lineRule="exact"/>
        <w:ind w:firstLine="640"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（三）</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探亲假待遇</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，自</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本办法自发布之日起</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所引进的高层次人才</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已婚且配偶不在</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巴彦淖尔市</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居住或未婚且父母不在</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巴彦淖尔市</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居住的高层次人才，</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每年可享受</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一</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次探亲假，假期为</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0天</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由单位报销</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往返交通费。</w:t>
      </w:r>
    </w:p>
    <w:p w14:paraId="7F118F93">
      <w:pPr>
        <w:spacing w:line="560" w:lineRule="exact"/>
        <w:ind w:firstLine="640"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（四）探索</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临河惠才</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卡”</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对符合条件的人才发放“</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临河惠才</w:t>
      </w:r>
      <w:r>
        <w:rPr>
          <w:rFonts w:hint="default"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卡”，在景区游览、子女就学、本人及亲属就医、交通出行等方面提供便捷服务，实现人才服务亮卡快办、特事特办。</w:t>
      </w:r>
    </w:p>
    <w:p w14:paraId="087BDCB3">
      <w:pPr>
        <w:spacing w:line="560" w:lineRule="exact"/>
        <w:ind w:firstLine="640"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建立</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我区</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高层次人才信息库。利用现代信息技术，建设数据全面、结构合理、功能优化、动态更新的高层次人才数据库，实现对高层次人才信息资源全面、准确、实时、动态管理，为高层次人才在项目申报、进修提升、学术交流等方面提供帮助，不断提高人才工作信息化水平。</w:t>
      </w:r>
    </w:p>
    <w:p w14:paraId="49931A5D">
      <w:pPr>
        <w:spacing w:line="560" w:lineRule="exact"/>
        <w:ind w:firstLine="640"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六</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统筹建立覆盖全</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区</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的人才</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w:t>
      </w:r>
      <w:r>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t>一站式”服务平台，采取线上线下相结合的方式，为引进人才提供定制化服务，落实人才引进的各项政策。</w:t>
      </w:r>
    </w:p>
    <w:p w14:paraId="511CDD0F">
      <w:pPr>
        <w:spacing w:line="560" w:lineRule="exact"/>
        <w:ind w:firstLine="640" w:firstLineChars="200"/>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七</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）设立“高层次人才发展专项资金”，财政每年安排不低于</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1000</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万元的资金，主要用于人才</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引进</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配套建设、高层次人才的引进、奖励和培训工作，专项资金由</w:t>
      </w:r>
      <w:r>
        <w:rPr>
          <w:rFonts w:hint="eastAsia" w:ascii="仿宋_GB2312" w:hAnsi="仿宋_GB2312" w:eastAsia="仿宋_GB2312" w:cs="仿宋_GB2312"/>
          <w:b w:val="0"/>
          <w:bCs w:val="0"/>
          <w:strike w:val="0"/>
          <w:dstrike w:val="0"/>
          <w:color w:val="000000" w:themeColor="text1"/>
          <w:sz w:val="32"/>
          <w:szCs w:val="32"/>
          <w:highlight w:val="none"/>
          <w:u w:val="none"/>
          <w:lang w:val="en-US" w:eastAsia="zh-CN"/>
          <w14:textFill>
            <w14:solidFill>
              <w14:schemeClr w14:val="tx1"/>
            </w14:solidFill>
          </w14:textFill>
        </w:rPr>
        <w:t>区</w:t>
      </w:r>
      <w:r>
        <w:rPr>
          <w:rFonts w:hint="eastAsia" w:ascii="仿宋_GB2312" w:hAnsi="仿宋_GB2312" w:eastAsia="仿宋_GB2312" w:cs="仿宋_GB2312"/>
          <w:b w:val="0"/>
          <w:bCs w:val="0"/>
          <w:strike w:val="0"/>
          <w:dstrike w:val="0"/>
          <w:color w:val="000000" w:themeColor="text1"/>
          <w:sz w:val="32"/>
          <w:szCs w:val="32"/>
          <w:highlight w:val="none"/>
          <w:u w:val="none"/>
          <w14:textFill>
            <w14:solidFill>
              <w14:schemeClr w14:val="tx1"/>
            </w14:solidFill>
          </w14:textFill>
        </w:rPr>
        <w:t>人才</w:t>
      </w:r>
      <w:r>
        <w:rPr>
          <w:rFonts w:hint="eastAsia" w:ascii="仿宋_GB2312" w:hAnsi="仿宋_GB2312" w:eastAsia="仿宋_GB2312" w:cs="仿宋_GB2312"/>
          <w:b w:val="0"/>
          <w:bCs w:val="0"/>
          <w:strike w:val="0"/>
          <w:dstrike w:val="0"/>
          <w:color w:val="000000" w:themeColor="text1"/>
          <w:sz w:val="32"/>
          <w:szCs w:val="32"/>
          <w:highlight w:val="none"/>
          <w:u w:val="none"/>
          <w:lang w:val="en-US" w:eastAsia="zh-CN"/>
          <w14:textFill>
            <w14:solidFill>
              <w14:schemeClr w14:val="tx1"/>
            </w14:solidFill>
          </w14:textFill>
        </w:rPr>
        <w:t>引进</w:t>
      </w:r>
      <w:r>
        <w:rPr>
          <w:rFonts w:hint="eastAsia" w:ascii="仿宋_GB2312" w:hAnsi="仿宋_GB2312" w:eastAsia="仿宋_GB2312" w:cs="仿宋_GB2312"/>
          <w:b w:val="0"/>
          <w:bCs w:val="0"/>
          <w:strike w:val="0"/>
          <w:dstrike w:val="0"/>
          <w:color w:val="000000" w:themeColor="text1"/>
          <w:sz w:val="32"/>
          <w:szCs w:val="32"/>
          <w:highlight w:val="none"/>
          <w:u w:val="none"/>
          <w14:textFill>
            <w14:solidFill>
              <w14:schemeClr w14:val="tx1"/>
            </w14:solidFill>
          </w14:textFill>
        </w:rPr>
        <w:t>工作</w:t>
      </w:r>
      <w:r>
        <w:rPr>
          <w:rFonts w:hint="eastAsia" w:ascii="仿宋_GB2312" w:hAnsi="仿宋_GB2312" w:eastAsia="仿宋_GB2312" w:cs="仿宋_GB2312"/>
          <w:b w:val="0"/>
          <w:bCs w:val="0"/>
          <w:strike w:val="0"/>
          <w:dstrike w:val="0"/>
          <w:color w:val="000000" w:themeColor="text1"/>
          <w:sz w:val="32"/>
          <w:szCs w:val="32"/>
          <w:highlight w:val="none"/>
          <w:u w:val="none"/>
          <w:lang w:val="en-US" w:eastAsia="zh-CN"/>
          <w14:textFill>
            <w14:solidFill>
              <w14:schemeClr w14:val="tx1"/>
            </w14:solidFill>
          </w14:textFill>
        </w:rPr>
        <w:t>办公室</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统一管理和使用。</w:t>
      </w:r>
    </w:p>
    <w:p w14:paraId="1235890C">
      <w:pPr>
        <w:spacing w:line="560" w:lineRule="exact"/>
        <w:ind w:firstLine="640" w:firstLineChars="200"/>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八</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各部门利用好各类宣传平台，做好人才引进政策宣传和解读，重点做好高校毕业生在我区就业创业相关引才政策的宣传和指导。</w:t>
      </w:r>
    </w:p>
    <w:p w14:paraId="6FE4E741">
      <w:pPr>
        <w:spacing w:line="560" w:lineRule="exact"/>
        <w:rPr>
          <w:rFonts w:ascii="黑体" w:hAnsi="黑体" w:eastAsia="黑体" w:cs="黑体"/>
          <w:b w:val="0"/>
          <w:bCs w:val="0"/>
          <w:color w:val="000000" w:themeColor="text1"/>
          <w:sz w:val="32"/>
          <w:szCs w:val="32"/>
          <w:highlight w:val="none"/>
          <w:u w:val="none"/>
          <w14:textFill>
            <w14:solidFill>
              <w14:schemeClr w14:val="tx1"/>
            </w14:solidFill>
          </w14:textFill>
        </w:rPr>
      </w:pPr>
    </w:p>
    <w:p w14:paraId="45B05680">
      <w:pPr>
        <w:spacing w:line="560" w:lineRule="exact"/>
        <w:jc w:val="center"/>
        <w:outlineLvl w:val="0"/>
        <w:rPr>
          <w:rFonts w:ascii="黑体" w:hAnsi="黑体" w:eastAsia="黑体" w:cs="黑体"/>
          <w:b w:val="0"/>
          <w:bCs w:val="0"/>
          <w:color w:val="000000" w:themeColor="text1"/>
          <w:sz w:val="32"/>
          <w:szCs w:val="32"/>
          <w:highlight w:val="none"/>
          <w:u w:val="none"/>
          <w14:textFill>
            <w14:solidFill>
              <w14:schemeClr w14:val="tx1"/>
            </w14:solidFill>
          </w14:textFill>
        </w:rPr>
      </w:pPr>
      <w:r>
        <w:rPr>
          <w:rFonts w:hint="eastAsia" w:ascii="黑体" w:hAnsi="黑体" w:eastAsia="黑体" w:cs="黑体"/>
          <w:b w:val="0"/>
          <w:bCs w:val="0"/>
          <w:color w:val="000000" w:themeColor="text1"/>
          <w:sz w:val="32"/>
          <w:szCs w:val="32"/>
          <w:highlight w:val="none"/>
          <w:u w:val="none"/>
          <w14:textFill>
            <w14:solidFill>
              <w14:schemeClr w14:val="tx1"/>
            </w14:solidFill>
          </w14:textFill>
        </w:rPr>
        <w:t>第</w:t>
      </w:r>
      <w:r>
        <w:rPr>
          <w:rFonts w:hint="eastAsia" w:ascii="黑体" w:hAnsi="黑体" w:eastAsia="黑体" w:cs="黑体"/>
          <w:b w:val="0"/>
          <w:bCs w:val="0"/>
          <w:color w:val="000000" w:themeColor="text1"/>
          <w:sz w:val="32"/>
          <w:szCs w:val="32"/>
          <w:highlight w:val="none"/>
          <w:u w:val="none"/>
          <w:lang w:eastAsia="zh-CN"/>
          <w14:textFill>
            <w14:solidFill>
              <w14:schemeClr w14:val="tx1"/>
            </w14:solidFill>
          </w14:textFill>
        </w:rPr>
        <w:t>八</w:t>
      </w:r>
      <w:r>
        <w:rPr>
          <w:rFonts w:hint="eastAsia" w:ascii="黑体" w:hAnsi="黑体" w:eastAsia="黑体" w:cs="黑体"/>
          <w:b w:val="0"/>
          <w:bCs w:val="0"/>
          <w:color w:val="000000" w:themeColor="text1"/>
          <w:sz w:val="32"/>
          <w:szCs w:val="32"/>
          <w:highlight w:val="none"/>
          <w:u w:val="none"/>
          <w14:textFill>
            <w14:solidFill>
              <w14:schemeClr w14:val="tx1"/>
            </w14:solidFill>
          </w14:textFill>
        </w:rPr>
        <w:t>章 附则</w:t>
      </w:r>
    </w:p>
    <w:p w14:paraId="7DA79EC1">
      <w:pPr>
        <w:spacing w:line="560" w:lineRule="exact"/>
        <w:ind w:firstLine="640"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p>
    <w:p w14:paraId="652C6FCA">
      <w:pPr>
        <w:spacing w:line="560" w:lineRule="exact"/>
        <w:ind w:firstLine="643" w:firstLineChars="200"/>
        <w:rPr>
          <w:rFonts w:ascii="仿宋_GB2312" w:hAnsi="仿宋_GB2312" w:eastAsia="仿宋_GB2312" w:cs="仿宋_GB2312"/>
          <w:b w:val="0"/>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第三十七条 </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本办法由区人才引进</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工作办公室</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负责解释。</w:t>
      </w:r>
    </w:p>
    <w:p w14:paraId="1FACEA75">
      <w:pPr>
        <w:spacing w:line="560" w:lineRule="exact"/>
        <w:ind w:firstLine="643" w:firstLineChars="200"/>
        <w:rPr>
          <w:rFonts w:hint="eastAsia" w:ascii="仿宋_GB2312" w:hAnsi="仿宋_GB2312" w:eastAsia="仿宋_GB2312" w:cs="仿宋_GB2312"/>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u w:val="none"/>
          <w:lang w:val="en-US" w:eastAsia="zh-CN"/>
          <w14:textFill>
            <w14:solidFill>
              <w14:schemeClr w14:val="tx1"/>
            </w14:solidFill>
          </w14:textFill>
        </w:rPr>
        <w:t xml:space="preserve">第三十八条 </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本办法自发布之日起施行。</w:t>
      </w:r>
    </w:p>
    <w:sectPr>
      <w:footerReference r:id="rId3" w:type="default"/>
      <w:pgSz w:w="11906" w:h="16838"/>
      <w:pgMar w:top="2098" w:right="1474" w:bottom="181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DCA183">
    <w:pPr>
      <w:tabs>
        <w:tab w:val="center" w:pos="4153"/>
        <w:tab w:val="right" w:pos="8306"/>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93AF87">
                          <w:pPr>
                            <w:tabs>
                              <w:tab w:val="center" w:pos="4153"/>
                              <w:tab w:val="right" w:pos="8306"/>
                            </w:tabs>
                          </w:pPr>
                          <w:r>
                            <w:rPr>
                              <w:rFonts w:hint="eastAsia" w:ascii="宋体" w:hAnsi="宋体" w:cs="宋体"/>
                              <w:sz w:val="24"/>
                            </w:rPr>
                            <w:fldChar w:fldCharType="begin"/>
                          </w:r>
                          <w:r>
                            <w:rPr>
                              <w:rFonts w:hint="eastAsia" w:ascii="宋体" w:hAnsi="宋体" w:cs="宋体"/>
                              <w:sz w:val="24"/>
                            </w:rPr>
                            <w:instrText xml:space="preserve"> PAGE  \* MERGEFORMAT </w:instrText>
                          </w:r>
                          <w:r>
                            <w:rPr>
                              <w:rFonts w:hint="eastAsia" w:ascii="宋体" w:hAnsi="宋体" w:cs="宋体"/>
                              <w:sz w:val="24"/>
                            </w:rPr>
                            <w:fldChar w:fldCharType="separate"/>
                          </w:r>
                          <w:r>
                            <w:rPr>
                              <w:rFonts w:ascii="宋体" w:hAnsi="宋体" w:cs="宋体"/>
                              <w:sz w:val="24"/>
                            </w:rPr>
                            <w:t>- 1 -</w:t>
                          </w:r>
                          <w:r>
                            <w:rPr>
                              <w:rFonts w:hint="eastAsia" w:ascii="宋体" w:hAnsi="宋体" w:cs="宋体"/>
                              <w:sz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D93AF87">
                    <w:pPr>
                      <w:tabs>
                        <w:tab w:val="center" w:pos="4153"/>
                        <w:tab w:val="right" w:pos="8306"/>
                      </w:tabs>
                    </w:pPr>
                    <w:r>
                      <w:rPr>
                        <w:rFonts w:hint="eastAsia" w:ascii="宋体" w:hAnsi="宋体" w:cs="宋体"/>
                        <w:sz w:val="24"/>
                      </w:rPr>
                      <w:fldChar w:fldCharType="begin"/>
                    </w:r>
                    <w:r>
                      <w:rPr>
                        <w:rFonts w:hint="eastAsia" w:ascii="宋体" w:hAnsi="宋体" w:cs="宋体"/>
                        <w:sz w:val="24"/>
                      </w:rPr>
                      <w:instrText xml:space="preserve"> PAGE  \* MERGEFORMAT </w:instrText>
                    </w:r>
                    <w:r>
                      <w:rPr>
                        <w:rFonts w:hint="eastAsia" w:ascii="宋体" w:hAnsi="宋体" w:cs="宋体"/>
                        <w:sz w:val="24"/>
                      </w:rPr>
                      <w:fldChar w:fldCharType="separate"/>
                    </w:r>
                    <w:r>
                      <w:rPr>
                        <w:rFonts w:ascii="宋体" w:hAnsi="宋体" w:cs="宋体"/>
                        <w:sz w:val="24"/>
                      </w:rPr>
                      <w:t>- 1 -</w:t>
                    </w:r>
                    <w:r>
                      <w:rPr>
                        <w:rFonts w:hint="eastAsia" w:ascii="宋体" w:hAnsi="宋体" w:cs="宋体"/>
                        <w:sz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835AAF"/>
    <w:multiLevelType w:val="singleLevel"/>
    <w:tmpl w:val="90835AAF"/>
    <w:lvl w:ilvl="0" w:tentative="0">
      <w:start w:val="4"/>
      <w:numFmt w:val="chineseCounting"/>
      <w:suff w:val="space"/>
      <w:lvlText w:val="第%1章"/>
      <w:lvlJc w:val="left"/>
      <w:rPr>
        <w:rFonts w:hint="eastAsia"/>
      </w:rPr>
    </w:lvl>
  </w:abstractNum>
  <w:abstractNum w:abstractNumId="1">
    <w:nsid w:val="0DEABF27"/>
    <w:multiLevelType w:val="singleLevel"/>
    <w:tmpl w:val="0DEABF27"/>
    <w:lvl w:ilvl="0" w:tentative="0">
      <w:start w:val="2"/>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hNTM2MDY5Mzg4NGNlZjdkZTMzYzQ4MzlhNTFmMzQifQ=="/>
  </w:docVars>
  <w:rsids>
    <w:rsidRoot w:val="00000000"/>
    <w:rsid w:val="064E2C02"/>
    <w:rsid w:val="07293490"/>
    <w:rsid w:val="07481AA4"/>
    <w:rsid w:val="0DD3123D"/>
    <w:rsid w:val="0DFD3A9D"/>
    <w:rsid w:val="0E6059EA"/>
    <w:rsid w:val="12C02D50"/>
    <w:rsid w:val="131E5EEC"/>
    <w:rsid w:val="1334066B"/>
    <w:rsid w:val="13954387"/>
    <w:rsid w:val="143376FC"/>
    <w:rsid w:val="14715A88"/>
    <w:rsid w:val="150F3CC6"/>
    <w:rsid w:val="15B15EAC"/>
    <w:rsid w:val="1626716C"/>
    <w:rsid w:val="169574F4"/>
    <w:rsid w:val="1D427DB8"/>
    <w:rsid w:val="1F2607C6"/>
    <w:rsid w:val="1F3F5AEF"/>
    <w:rsid w:val="1F5E7456"/>
    <w:rsid w:val="2776558C"/>
    <w:rsid w:val="287F0D0A"/>
    <w:rsid w:val="298365D8"/>
    <w:rsid w:val="2A191DF3"/>
    <w:rsid w:val="2A832D34"/>
    <w:rsid w:val="2BBB02AC"/>
    <w:rsid w:val="2DFC35F0"/>
    <w:rsid w:val="31767644"/>
    <w:rsid w:val="31974E86"/>
    <w:rsid w:val="322070B9"/>
    <w:rsid w:val="34264955"/>
    <w:rsid w:val="342F6F1D"/>
    <w:rsid w:val="35E81ADA"/>
    <w:rsid w:val="36DB03C2"/>
    <w:rsid w:val="39110595"/>
    <w:rsid w:val="39FE69E0"/>
    <w:rsid w:val="3DF210A6"/>
    <w:rsid w:val="3DF80EEB"/>
    <w:rsid w:val="3F1874C8"/>
    <w:rsid w:val="3F337FB0"/>
    <w:rsid w:val="432F1244"/>
    <w:rsid w:val="433B14DC"/>
    <w:rsid w:val="44D779E8"/>
    <w:rsid w:val="45F45242"/>
    <w:rsid w:val="48F8263B"/>
    <w:rsid w:val="49C24A42"/>
    <w:rsid w:val="4EC310A1"/>
    <w:rsid w:val="4FB87E47"/>
    <w:rsid w:val="503456AC"/>
    <w:rsid w:val="52DE5D36"/>
    <w:rsid w:val="53487DC7"/>
    <w:rsid w:val="561426CB"/>
    <w:rsid w:val="58C919AA"/>
    <w:rsid w:val="5B6A29F9"/>
    <w:rsid w:val="5D047ABC"/>
    <w:rsid w:val="5E1F6B07"/>
    <w:rsid w:val="66E16111"/>
    <w:rsid w:val="67C1698B"/>
    <w:rsid w:val="6F3E7E0E"/>
    <w:rsid w:val="6FBF960C"/>
    <w:rsid w:val="70A1261A"/>
    <w:rsid w:val="738E4F4A"/>
    <w:rsid w:val="75DECEE8"/>
    <w:rsid w:val="762D489A"/>
    <w:rsid w:val="76593E55"/>
    <w:rsid w:val="78177BE5"/>
    <w:rsid w:val="78B32CBF"/>
    <w:rsid w:val="78BB4832"/>
    <w:rsid w:val="79D20FFC"/>
    <w:rsid w:val="79D46B5D"/>
    <w:rsid w:val="7E6671D0"/>
    <w:rsid w:val="7E96512A"/>
    <w:rsid w:val="D797F5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unhideWhenUsed/>
    <w:qFormat/>
    <w:uiPriority w:val="1"/>
  </w:style>
  <w:style w:type="table" w:default="1" w:styleId="2">
    <w:name w:val="Normal Table"/>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6190</Words>
  <Characters>6242</Characters>
  <Lines>29</Lines>
  <Paragraphs>8</Paragraphs>
  <TotalTime>20</TotalTime>
  <ScaleCrop>false</ScaleCrop>
  <LinksUpToDate>false</LinksUpToDate>
  <CharactersWithSpaces>6302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2024-06-27T00:49:00Z</dcterms:created>
  <dc:creator>丹丹呐</dc:creator>
  <cp:lastModifiedBy>lenovo</cp:lastModifiedBy>
  <cp:lastPrinted>2024-11-15T02:11:00Z</cp:lastPrinted>
  <dcterms:modified xsi:type="dcterms:W3CDTF">2025-01-22T02:57:31Z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AFD43C6C05D941B2A194D7C387BD98ED_13</vt:lpwstr>
  </property>
  <property fmtid="{D5CDD505-2E9C-101B-9397-08002B2CF9AE}" pid="4" name="KSOTemplateDocerSaveRecord">
    <vt:lpwstr>eyJoZGlkIjoiMzFhNTM2MDY5Mzg4NGNlZjdkZTMzYzQ4MzlhNTFmMzQifQ==</vt:lpwstr>
  </property>
</Properties>
</file>